
<file path=[Content_Types].xml><?xml version="1.0" encoding="utf-8"?>
<Types xmlns="http://schemas.openxmlformats.org/package/2006/content-types">
  <Default ContentType="application/vnd.openxmlformats-officedocument.oleObject" Extension="bin"/>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E34E2" w14:textId="77777777" w:rsidR="00B7615D" w:rsidRPr="00D91C03" w:rsidRDefault="00B7615D" w:rsidP="006D723C">
      <w:pPr>
        <w:jc w:val="center"/>
        <w:rPr>
          <w:lang w:val="lt-LT"/>
        </w:rPr>
      </w:pPr>
      <w:r w:rsidRPr="00D91C03">
        <w:rPr>
          <w:lang w:val="lt-LT"/>
        </w:rPr>
        <w:object w:dxaOrig="2835" w:dyaOrig="2910" w14:anchorId="413FE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48pt" o:ole="">
            <v:imagedata r:id="rId8" o:title=""/>
          </v:shape>
          <o:OLEObject Type="Embed" ProgID="MSPhotoEd.3" ShapeID="_x0000_i1025" DrawAspect="Content" ObjectID="_1770205012" r:id="rId9"/>
        </w:object>
      </w:r>
    </w:p>
    <w:p w14:paraId="0C6FAA55" w14:textId="77777777" w:rsidR="00B7615D" w:rsidRPr="00D91C03" w:rsidRDefault="00B7615D" w:rsidP="006D723C">
      <w:pPr>
        <w:jc w:val="center"/>
        <w:rPr>
          <w:lang w:val="lt-LT"/>
        </w:rPr>
      </w:pPr>
    </w:p>
    <w:p w14:paraId="32E62565" w14:textId="77777777" w:rsidR="00B7615D" w:rsidRPr="00D91C03" w:rsidRDefault="00B7615D" w:rsidP="006D723C">
      <w:pPr>
        <w:pStyle w:val="Antrat2"/>
        <w:rPr>
          <w:sz w:val="24"/>
          <w:lang w:val="lt-LT"/>
        </w:rPr>
      </w:pPr>
      <w:r w:rsidRPr="00D91C03">
        <w:rPr>
          <w:sz w:val="24"/>
          <w:lang w:val="lt-LT"/>
        </w:rPr>
        <w:t>STUDIJŲ KOKYBĖS VERTINIMO CENTRAS</w:t>
      </w:r>
    </w:p>
    <w:p w14:paraId="4235551B" w14:textId="77777777" w:rsidR="00B7615D" w:rsidRPr="00D91C03" w:rsidRDefault="00B7615D" w:rsidP="006D723C">
      <w:pPr>
        <w:rPr>
          <w:lang w:val="lt-LT"/>
        </w:rPr>
      </w:pPr>
    </w:p>
    <w:p w14:paraId="130EB63E" w14:textId="77777777" w:rsidR="00B7615D" w:rsidRPr="00D91C03" w:rsidRDefault="00B7615D" w:rsidP="006D723C">
      <w:pPr>
        <w:keepNext/>
        <w:tabs>
          <w:tab w:val="left" w:pos="720"/>
        </w:tabs>
        <w:jc w:val="center"/>
        <w:outlineLvl w:val="1"/>
        <w:rPr>
          <w:rFonts w:eastAsia="Arial Unicode MS"/>
          <w:sz w:val="20"/>
          <w:szCs w:val="20"/>
          <w:lang w:val="lt-LT"/>
        </w:rPr>
      </w:pPr>
      <w:r w:rsidRPr="00D91C03">
        <w:rPr>
          <w:rFonts w:eastAsia="Arial Unicode MS"/>
          <w:bCs/>
          <w:sz w:val="20"/>
          <w:szCs w:val="20"/>
          <w:lang w:val="lt-LT"/>
        </w:rPr>
        <w:t xml:space="preserve">Biudžetinė įstaiga, A. Goštauto g. 12, 01108 Vilnius, tel. (8 5)  211 3694, www.skvc.lt, </w:t>
      </w:r>
      <w:r w:rsidRPr="00D91C03">
        <w:rPr>
          <w:rFonts w:eastAsia="Arial Unicode MS"/>
          <w:sz w:val="20"/>
          <w:szCs w:val="20"/>
          <w:lang w:val="lt-LT"/>
        </w:rPr>
        <w:t xml:space="preserve">el. p. skvc@skvc.lt. </w:t>
      </w:r>
    </w:p>
    <w:p w14:paraId="36721C4D" w14:textId="77777777" w:rsidR="00B7615D" w:rsidRPr="00D91C03" w:rsidRDefault="00B7615D" w:rsidP="006D723C">
      <w:pPr>
        <w:keepNext/>
        <w:jc w:val="center"/>
        <w:outlineLvl w:val="1"/>
        <w:rPr>
          <w:rFonts w:eastAsia="Arial Unicode MS"/>
          <w:sz w:val="20"/>
          <w:szCs w:val="20"/>
          <w:lang w:val="lt-LT"/>
        </w:rPr>
      </w:pPr>
      <w:r w:rsidRPr="00D91C03">
        <w:rPr>
          <w:rFonts w:eastAsia="Arial Unicode MS"/>
          <w:bCs/>
          <w:sz w:val="20"/>
          <w:szCs w:val="20"/>
          <w:lang w:val="lt-LT"/>
        </w:rPr>
        <w:t>Duomenys kaupiami ir saugomi Juridinių asmenų registre, kodas 111959192</w:t>
      </w:r>
    </w:p>
    <w:p w14:paraId="52B47D27" w14:textId="77777777" w:rsidR="00B7615D" w:rsidRPr="00D91C03" w:rsidRDefault="00B7615D" w:rsidP="006D723C">
      <w:pPr>
        <w:pStyle w:val="Porat"/>
        <w:rPr>
          <w:lang w:val="lt-LT"/>
        </w:rPr>
      </w:pPr>
      <w:r w:rsidRPr="00D91C03">
        <w:rPr>
          <w:noProof/>
          <w:lang w:val="lt-LT" w:eastAsia="lt-LT"/>
        </w:rPr>
        <mc:AlternateContent>
          <mc:Choice Requires="wps">
            <w:drawing>
              <wp:anchor distT="0" distB="0" distL="114300" distR="114300" simplePos="0" relativeHeight="251658240" behindDoc="0" locked="0" layoutInCell="1" allowOverlap="1" wp14:anchorId="3FAE5576" wp14:editId="1E115A93">
                <wp:simplePos x="0" y="0"/>
                <wp:positionH relativeFrom="column">
                  <wp:posOffset>0</wp:posOffset>
                </wp:positionH>
                <wp:positionV relativeFrom="paragraph">
                  <wp:posOffset>51435</wp:posOffset>
                </wp:positionV>
                <wp:extent cx="6057900" cy="0"/>
                <wp:effectExtent l="9525" t="13335" r="9525" b="571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F8D1D"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05pt" to="477pt,4.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9LaVYvwEAAGkDAAAOAAAAZHJzL2Uyb0RvYy54bWysU02P2yAQvVfqf0DcGzuRsu1acfaQ7faS tpF2+wMmgG1UYBCQ2Pn3HcjHbttbVR8Qw8w83nuDVw+TNeyoQtToWj6f1ZwpJ1Bq17f8x8vTh0+c xQROgkGnWn5SkT+s379bjb5RCxzQSBUYgbjYjL7lQ0q+qaooBmUhztArR8kOg4VEYegrGWAkdGuq RV3fVSMG6QMKFSOdPp6TfF3wu06J9L3rokrMtJy4pbKGsu7zWq1X0PQB/KDFhQb8AwsL2tGlN6hH SMAOQf8FZbUIGLFLM4G2wq7TQhUNpGZe/6HmeQCvihYyJ/qbTfH/wYpvx11gWtLsOHNgaURb7RRb ZGdGHxsq2LhdyNrE5J79FsXPyBxuBnC9KgxfTp7a5rmj+q0lB9ET/n78ipJq4JCw2DR1wWZIMoBN ZRqn2zTUlJigw7t6+fG+pqGJa66C5troQ0xfFFqWNy03xLkAw3EbUyYCzbUk3+PwSRtThm0cG1t+ v1wsS0NEo2VO5rIY+v3GBHaE/FzKV1RR5m1ZwIOTBWxQID9f9gm0Oe/pcuMuZmT9Zyf3KE+7cDWJ 5llYXt5efjBv49L9+oesfwEAAP//AwBQSwMEFAAGAAgAAAAhAHup+XTZAAAABAEAAA8AAABkcnMv ZG93bnJldi54bWxMj0FPwkAQhe8m/ofNmHghsAXFYOmWGLU3L4LE69Ad2sbubOkuUP31jl70+OVN 3vsmWw2uVSfqQ+PZwHSSgCIuvW24MvC2KcYLUCEiW2w9k4FPCrDKLy8yTK0/8yud1rFSUsIhRQN1 jF2qdShrchgmviOWbO97h1Gwr7Tt8SzlrtWzJLnTDhuWhRo7eqyp/FgfnYFQbOlQfI3KUfJ+U3ma HZ5entGY66vhYQkq0hD/juFHX9QhF6edP7INqjUgj0QDiykoCe/nt8K7X9Z5pv/L598AAAD//wMA UEsBAi0AFAAGAAgAAAAhALaDOJL+AAAA4QEAABMAAAAAAAAAAAAAAAAAAAAAAFtDb250ZW50X1R5 cGVzXS54bWxQSwECLQAUAAYACAAAACEAOP0h/9YAAACUAQAACwAAAAAAAAAAAAAAAAAvAQAAX3Jl bHMvLnJlbHNQSwECLQAUAAYACAAAACEAPS2lWL8BAABpAwAADgAAAAAAAAAAAAAAAAAuAgAAZHJz L2Uyb0RvYy54bWxQSwECLQAUAAYACAAAACEAe6n5dNkAAAAEAQAADwAAAAAAAAAAAAAAAAAZBAAA ZHJzL2Rvd25yZXYueG1sUEsFBgAAAAAEAAQA8wAAAB8FAAAAAA== "/>
            </w:pict>
          </mc:Fallback>
        </mc:AlternateContent>
      </w:r>
    </w:p>
    <w:tbl>
      <w:tblPr>
        <w:tblW w:w="9928" w:type="dxa"/>
        <w:tblInd w:w="-5" w:type="dxa"/>
        <w:tblLayout w:type="fixed"/>
        <w:tblLook w:val="0000" w:firstRow="0" w:lastRow="0" w:firstColumn="0" w:lastColumn="0" w:noHBand="0" w:noVBand="0"/>
      </w:tblPr>
      <w:tblGrid>
        <w:gridCol w:w="5392"/>
        <w:gridCol w:w="1559"/>
        <w:gridCol w:w="2977"/>
      </w:tblGrid>
      <w:tr w:rsidR="001062F3" w:rsidRPr="00D91C03" w14:paraId="1FC3249F" w14:textId="77777777" w:rsidTr="006D723C">
        <w:trPr>
          <w:cantSplit/>
          <w:trHeight w:val="437"/>
        </w:trPr>
        <w:tc>
          <w:tcPr>
            <w:tcW w:w="5392" w:type="dxa"/>
            <w:vMerge w:val="restart"/>
          </w:tcPr>
          <w:p w14:paraId="2D79086A" w14:textId="21FEE969" w:rsidR="001062F3" w:rsidRPr="00E82C0A" w:rsidRDefault="003A2AD9" w:rsidP="006D723C">
            <w:pPr>
              <w:pStyle w:val="Antrats"/>
              <w:ind w:hanging="113"/>
              <w:rPr>
                <w:bCs/>
                <w:lang w:val="lt-LT"/>
              </w:rPr>
            </w:pPr>
            <w:bookmarkStart w:id="0" w:name="PTMD_risvs"/>
            <w:bookmarkStart w:id="1" w:name="isdvs"/>
            <w:bookmarkEnd w:id="0"/>
            <w:bookmarkEnd w:id="1"/>
            <w:r>
              <w:rPr>
                <w:bCs/>
                <w:lang w:val="lt-LT"/>
              </w:rPr>
              <w:t>LCC tarptautiniam universitetui</w:t>
            </w:r>
          </w:p>
          <w:p w14:paraId="2309DABC" w14:textId="77777777" w:rsidR="001062F3" w:rsidRPr="00E82C0A" w:rsidRDefault="001062F3" w:rsidP="006D723C">
            <w:pPr>
              <w:pStyle w:val="Antrats"/>
              <w:ind w:hanging="113"/>
              <w:rPr>
                <w:bCs/>
                <w:lang w:val="lt-LT"/>
              </w:rPr>
            </w:pPr>
          </w:p>
          <w:p w14:paraId="4C192375" w14:textId="77777777" w:rsidR="001062F3" w:rsidRPr="00E82C0A" w:rsidRDefault="001062F3" w:rsidP="006D723C">
            <w:pPr>
              <w:pStyle w:val="Antrats"/>
              <w:ind w:hanging="113"/>
              <w:rPr>
                <w:bCs/>
                <w:i/>
                <w:iCs/>
                <w:lang w:val="lt-LT"/>
              </w:rPr>
            </w:pPr>
            <w:r w:rsidRPr="00E82C0A">
              <w:rPr>
                <w:bCs/>
                <w:i/>
                <w:iCs/>
                <w:lang w:val="lt-LT"/>
              </w:rPr>
              <w:t>Kopija:</w:t>
            </w:r>
          </w:p>
          <w:p w14:paraId="4874E630" w14:textId="26D06044" w:rsidR="001062F3" w:rsidRPr="00E82C0A" w:rsidRDefault="001062F3" w:rsidP="006D723C">
            <w:pPr>
              <w:pStyle w:val="Antrats"/>
              <w:ind w:left="-108" w:hanging="5"/>
              <w:rPr>
                <w:bCs/>
                <w:lang w:val="lt-LT"/>
              </w:rPr>
            </w:pPr>
            <w:r w:rsidRPr="00E82C0A">
              <w:rPr>
                <w:bCs/>
                <w:lang w:val="lt-LT"/>
              </w:rPr>
              <w:t xml:space="preserve">Lietuvos Respublikos švietimo, mokslo ir sporto ministerijai  </w:t>
            </w:r>
          </w:p>
          <w:p w14:paraId="0F7C75DA" w14:textId="77777777" w:rsidR="001062F3" w:rsidRPr="00E82C0A" w:rsidRDefault="001062F3" w:rsidP="006D723C">
            <w:pPr>
              <w:pStyle w:val="Antrats"/>
              <w:rPr>
                <w:bCs/>
                <w:lang w:val="lt-LT"/>
              </w:rPr>
            </w:pPr>
          </w:p>
          <w:p w14:paraId="1744882D" w14:textId="430770BA" w:rsidR="001062F3" w:rsidRPr="00E82C0A" w:rsidRDefault="001062F3" w:rsidP="006D723C">
            <w:pPr>
              <w:pStyle w:val="Antrats"/>
              <w:rPr>
                <w:bCs/>
                <w:lang w:val="lt-LT"/>
              </w:rPr>
            </w:pPr>
          </w:p>
        </w:tc>
        <w:tc>
          <w:tcPr>
            <w:tcW w:w="1559" w:type="dxa"/>
          </w:tcPr>
          <w:p w14:paraId="2C0AC4DD" w14:textId="1E160B4A" w:rsidR="001062F3" w:rsidRPr="006D723C" w:rsidRDefault="001062F3" w:rsidP="006D723C">
            <w:pPr>
              <w:pStyle w:val="Antrats"/>
              <w:rPr>
                <w:lang w:val="lt-LT"/>
              </w:rPr>
            </w:pPr>
            <w:r w:rsidRPr="006D723C">
              <w:rPr>
                <w:lang w:val="lt-LT"/>
              </w:rPr>
              <w:t>Į 202</w:t>
            </w:r>
            <w:r w:rsidRPr="006D723C">
              <w:rPr>
                <w:lang w:val="en-US"/>
              </w:rPr>
              <w:t>3-0</w:t>
            </w:r>
            <w:r w:rsidR="003A2AD9">
              <w:rPr>
                <w:lang w:val="en-US"/>
              </w:rPr>
              <w:t>9</w:t>
            </w:r>
            <w:r w:rsidRPr="006D723C">
              <w:rPr>
                <w:lang w:val="en-US"/>
              </w:rPr>
              <w:t>-</w:t>
            </w:r>
            <w:r w:rsidR="00AA2868">
              <w:rPr>
                <w:lang w:val="en-US"/>
              </w:rPr>
              <w:t>1</w:t>
            </w:r>
            <w:r w:rsidR="003A2AD9">
              <w:rPr>
                <w:lang w:val="en-US"/>
              </w:rPr>
              <w:t>5</w:t>
            </w:r>
          </w:p>
        </w:tc>
        <w:tc>
          <w:tcPr>
            <w:tcW w:w="2977" w:type="dxa"/>
          </w:tcPr>
          <w:p w14:paraId="3ED22ADD" w14:textId="1E2157A2" w:rsidR="001062F3" w:rsidRPr="006D723C" w:rsidRDefault="001062F3" w:rsidP="006D723C">
            <w:pPr>
              <w:pStyle w:val="Antrats"/>
              <w:rPr>
                <w:lang w:val="lt-LT"/>
              </w:rPr>
            </w:pPr>
            <w:r w:rsidRPr="006D723C">
              <w:rPr>
                <w:lang w:val="lt-LT"/>
              </w:rPr>
              <w:t xml:space="preserve">Nr. </w:t>
            </w:r>
            <w:r w:rsidR="00AA2868">
              <w:rPr>
                <w:rStyle w:val="markedcontent"/>
              </w:rPr>
              <w:t>S</w:t>
            </w:r>
            <w:r w:rsidR="003A2AD9">
              <w:rPr>
                <w:rStyle w:val="markedcontent"/>
              </w:rPr>
              <w:t>K2</w:t>
            </w:r>
            <w:r w:rsidR="00AA2868">
              <w:rPr>
                <w:rStyle w:val="markedcontent"/>
              </w:rPr>
              <w:t>-</w:t>
            </w:r>
            <w:r w:rsidR="003A2AD9">
              <w:rPr>
                <w:rStyle w:val="markedcontent"/>
              </w:rPr>
              <w:t>19</w:t>
            </w:r>
          </w:p>
        </w:tc>
      </w:tr>
      <w:tr w:rsidR="00B7615D" w:rsidRPr="00D91C03" w14:paraId="1B7A490C" w14:textId="77777777" w:rsidTr="006D723C">
        <w:trPr>
          <w:cantSplit/>
          <w:trHeight w:val="994"/>
        </w:trPr>
        <w:tc>
          <w:tcPr>
            <w:tcW w:w="5392" w:type="dxa"/>
            <w:vMerge/>
          </w:tcPr>
          <w:p w14:paraId="00C82FED" w14:textId="77777777" w:rsidR="00B7615D" w:rsidRPr="00D91C03" w:rsidRDefault="00B7615D" w:rsidP="006D723C">
            <w:pPr>
              <w:pStyle w:val="Antrats"/>
              <w:rPr>
                <w:lang w:val="lt-LT"/>
              </w:rPr>
            </w:pPr>
          </w:p>
        </w:tc>
        <w:tc>
          <w:tcPr>
            <w:tcW w:w="4536" w:type="dxa"/>
            <w:gridSpan w:val="2"/>
          </w:tcPr>
          <w:p w14:paraId="1AE3427C" w14:textId="12C915B9" w:rsidR="00B7615D" w:rsidRPr="00D91C03" w:rsidRDefault="00B7615D" w:rsidP="006D723C">
            <w:pPr>
              <w:pStyle w:val="Antrats"/>
              <w:rPr>
                <w:lang w:val="lt-LT"/>
              </w:rPr>
            </w:pPr>
          </w:p>
        </w:tc>
      </w:tr>
    </w:tbl>
    <w:p w14:paraId="74E6A764" w14:textId="77777777" w:rsidR="00EF258F" w:rsidRPr="00D061C8" w:rsidRDefault="00EF258F" w:rsidP="006D723C">
      <w:pPr>
        <w:tabs>
          <w:tab w:val="center" w:pos="4677"/>
          <w:tab w:val="right" w:pos="9355"/>
        </w:tabs>
        <w:spacing w:line="276" w:lineRule="auto"/>
        <w:jc w:val="center"/>
        <w:rPr>
          <w:b/>
          <w:lang w:val="lt-LT"/>
        </w:rPr>
      </w:pPr>
      <w:r w:rsidRPr="00D061C8">
        <w:rPr>
          <w:b/>
          <w:lang w:val="lt-LT"/>
        </w:rPr>
        <w:t>SPRENDIMAS</w:t>
      </w:r>
    </w:p>
    <w:p w14:paraId="4FB0A402" w14:textId="414C16E8" w:rsidR="00EF258F" w:rsidRPr="00D061C8" w:rsidRDefault="00EF258F" w:rsidP="006D723C">
      <w:pPr>
        <w:tabs>
          <w:tab w:val="center" w:pos="4677"/>
          <w:tab w:val="right" w:pos="9355"/>
        </w:tabs>
        <w:spacing w:line="276" w:lineRule="auto"/>
        <w:jc w:val="center"/>
        <w:rPr>
          <w:b/>
          <w:lang w:val="lt-LT"/>
        </w:rPr>
      </w:pPr>
      <w:r w:rsidRPr="00D061C8">
        <w:rPr>
          <w:b/>
          <w:lang w:val="lt-LT"/>
        </w:rPr>
        <w:t xml:space="preserve">DĖL </w:t>
      </w:r>
      <w:r w:rsidR="00D061C8">
        <w:rPr>
          <w:b/>
          <w:lang w:val="lt-LT"/>
        </w:rPr>
        <w:t>LCC TARPTAUTINIO UNIVERSITETO</w:t>
      </w:r>
      <w:r w:rsidR="002243A0">
        <w:rPr>
          <w:b/>
          <w:lang w:val="lt-LT"/>
        </w:rPr>
        <w:t xml:space="preserve"> </w:t>
      </w:r>
      <w:r w:rsidRPr="00D061C8">
        <w:rPr>
          <w:b/>
          <w:lang w:val="lt-LT"/>
        </w:rPr>
        <w:t>VEIKLOS ĮVERTINIMO</w:t>
      </w:r>
    </w:p>
    <w:p w14:paraId="4690C428" w14:textId="09891014" w:rsidR="00EF258F" w:rsidRPr="00D061C8" w:rsidRDefault="00EF258F" w:rsidP="006D723C">
      <w:pPr>
        <w:tabs>
          <w:tab w:val="center" w:pos="4677"/>
          <w:tab w:val="right" w:pos="9355"/>
        </w:tabs>
        <w:spacing w:line="276" w:lineRule="auto"/>
        <w:jc w:val="center"/>
        <w:rPr>
          <w:lang w:val="en-US"/>
        </w:rPr>
      </w:pPr>
      <w:r w:rsidRPr="00D061C8">
        <w:rPr>
          <w:lang w:val="lt-LT"/>
        </w:rPr>
        <w:t>202</w:t>
      </w:r>
      <w:r w:rsidR="003A2AD9" w:rsidRPr="00D061C8">
        <w:rPr>
          <w:lang w:val="lt-LT"/>
        </w:rPr>
        <w:t>4</w:t>
      </w:r>
      <w:r w:rsidRPr="00D061C8">
        <w:rPr>
          <w:lang w:val="lt-LT"/>
        </w:rPr>
        <w:t>-</w:t>
      </w:r>
      <w:r w:rsidR="003A2AD9" w:rsidRPr="00D061C8">
        <w:rPr>
          <w:lang w:val="lt-LT"/>
        </w:rPr>
        <w:t>02</w:t>
      </w:r>
      <w:r w:rsidR="00890216" w:rsidRPr="00D061C8">
        <w:rPr>
          <w:lang w:val="lt-LT"/>
        </w:rPr>
        <w:t>-</w:t>
      </w:r>
      <w:r w:rsidRPr="00D061C8">
        <w:rPr>
          <w:lang w:val="lt-LT"/>
        </w:rPr>
        <w:t xml:space="preserve">    Nr. IV2-</w:t>
      </w:r>
    </w:p>
    <w:p w14:paraId="3AC20DCB" w14:textId="77777777" w:rsidR="00EF258F" w:rsidRPr="0074683A" w:rsidRDefault="00EF258F" w:rsidP="006D723C">
      <w:pPr>
        <w:tabs>
          <w:tab w:val="center" w:pos="4677"/>
          <w:tab w:val="right" w:pos="9355"/>
        </w:tabs>
        <w:spacing w:line="276" w:lineRule="auto"/>
        <w:jc w:val="both"/>
        <w:rPr>
          <w:b/>
          <w:sz w:val="23"/>
          <w:szCs w:val="23"/>
          <w:lang w:val="lt-LT"/>
        </w:rPr>
      </w:pPr>
    </w:p>
    <w:p w14:paraId="419807BA" w14:textId="38D576B8" w:rsidR="00EF258F" w:rsidRPr="00D061C8" w:rsidRDefault="00EF258F" w:rsidP="006D723C">
      <w:pPr>
        <w:spacing w:line="276" w:lineRule="auto"/>
        <w:ind w:firstLine="540"/>
        <w:jc w:val="both"/>
        <w:rPr>
          <w:lang w:val="lt-LT"/>
        </w:rPr>
      </w:pPr>
      <w:r w:rsidRPr="00D061C8">
        <w:rPr>
          <w:lang w:val="lt-LT"/>
        </w:rPr>
        <w:t xml:space="preserve">Vadovaudamasis Lietuvos Respublikos mokslo ir studijų įstatymo 49 straipsniu; </w:t>
      </w:r>
      <w:r w:rsidRPr="00D061C8">
        <w:rPr>
          <w:color w:val="000000"/>
          <w:shd w:val="clear" w:color="auto" w:fill="FFFFFF"/>
          <w:lang w:val="lt-LT"/>
        </w:rPr>
        <w:t xml:space="preserve">Aukštųjų mokyklų ir užsienio valstybių aukštųjų mokyklų filialų išorinio vertinimo ir akreditavimo tvarkos aprašu, vertinamosiomis sritimis ir rodikliais </w:t>
      </w:r>
      <w:r w:rsidRPr="00D061C8">
        <w:rPr>
          <w:lang w:val="lt-LT"/>
        </w:rPr>
        <w:t xml:space="preserve">(toliau – Aprašas), patvirtintu Lietuvos Respublikos švietimo, mokslo ir sporto ministro 2019 m. gruodžio 19 d. įsakymu Nr. V-1529 ir Aukštosios mokyklos veiklos vertinimo metodika (toliau – Metodika), patvirtinta Studijų kokybės vertinimo centro (toliau – Centras) direktoriaus 2020 m. kovo 9 d. įsakymu Nr. V-32, Centras atliko </w:t>
      </w:r>
      <w:r w:rsidR="003A2AD9" w:rsidRPr="00D061C8">
        <w:rPr>
          <w:i/>
          <w:iCs/>
          <w:lang w:val="lt-LT"/>
        </w:rPr>
        <w:t>LCC tarptautinio universiteto</w:t>
      </w:r>
      <w:r w:rsidRPr="00D061C8">
        <w:rPr>
          <w:i/>
          <w:lang w:val="lt-LT"/>
        </w:rPr>
        <w:t xml:space="preserve"> </w:t>
      </w:r>
      <w:r w:rsidRPr="00D061C8">
        <w:rPr>
          <w:lang w:val="lt-LT"/>
        </w:rPr>
        <w:t xml:space="preserve">veiklos išorinį vertinimą. Centro pasitelkta tarptautinė ekspertų grupė parengė aukštosios mokyklos veiklos vertinimo išvadas, kuriose aukštosios mokyklos veikla įvertinta </w:t>
      </w:r>
      <w:r w:rsidRPr="00D061C8">
        <w:rPr>
          <w:i/>
          <w:lang w:val="lt-LT"/>
        </w:rPr>
        <w:t>teigiamai.</w:t>
      </w:r>
      <w:r w:rsidRPr="00D061C8">
        <w:rPr>
          <w:lang w:val="lt-LT"/>
        </w:rPr>
        <w:t xml:space="preserve"> </w:t>
      </w:r>
    </w:p>
    <w:p w14:paraId="006D4264" w14:textId="5DC22CC9" w:rsidR="00EF258F" w:rsidRPr="00D061C8" w:rsidRDefault="00EF258F" w:rsidP="006D723C">
      <w:pPr>
        <w:spacing w:line="276" w:lineRule="auto"/>
        <w:ind w:firstLine="540"/>
        <w:jc w:val="both"/>
        <w:rPr>
          <w:lang w:val="lt-LT"/>
        </w:rPr>
      </w:pPr>
      <w:r w:rsidRPr="00D061C8">
        <w:rPr>
          <w:lang w:val="lt-LT"/>
        </w:rPr>
        <w:t xml:space="preserve">Pažymėtina, kad ekspertų grupės parengtos vertinimo išvados, vadovaujantis Metodikos 41 punktu bei Aukštųjų mokyklų vertinimo komisijos nuostatų, patvirtintų Centro direktoriaus </w:t>
      </w:r>
      <w:r w:rsidRPr="00D061C8">
        <w:rPr>
          <w:color w:val="000000"/>
          <w:lang w:val="lt-LT"/>
        </w:rPr>
        <w:t xml:space="preserve">2020 m. sausio 8 d. </w:t>
      </w:r>
      <w:r w:rsidRPr="00D061C8">
        <w:rPr>
          <w:lang w:val="lt-LT"/>
        </w:rPr>
        <w:t xml:space="preserve">įsakymu </w:t>
      </w:r>
      <w:r w:rsidRPr="00D061C8">
        <w:rPr>
          <w:color w:val="000000"/>
          <w:lang w:val="lt-LT"/>
        </w:rPr>
        <w:t>Nr. V-2</w:t>
      </w:r>
      <w:r w:rsidRPr="00D061C8">
        <w:rPr>
          <w:lang w:val="lt-LT"/>
        </w:rPr>
        <w:t>, 6.1 punktu, buvo svarstytos 202</w:t>
      </w:r>
      <w:r w:rsidR="00D061C8" w:rsidRPr="00D061C8">
        <w:rPr>
          <w:lang w:val="lt-LT"/>
        </w:rPr>
        <w:t>4</w:t>
      </w:r>
      <w:r w:rsidRPr="00D061C8">
        <w:rPr>
          <w:lang w:val="lt-LT"/>
        </w:rPr>
        <w:t xml:space="preserve"> m. </w:t>
      </w:r>
      <w:r w:rsidR="00D061C8" w:rsidRPr="00D061C8">
        <w:rPr>
          <w:lang w:val="lt-LT"/>
        </w:rPr>
        <w:t>vasar</w:t>
      </w:r>
      <w:r w:rsidR="00D470D1" w:rsidRPr="00D061C8">
        <w:rPr>
          <w:lang w:val="lt-LT"/>
        </w:rPr>
        <w:t xml:space="preserve">io </w:t>
      </w:r>
      <w:r w:rsidR="00AA2868" w:rsidRPr="00D061C8">
        <w:rPr>
          <w:lang w:val="lt-LT"/>
        </w:rPr>
        <w:t>1</w:t>
      </w:r>
      <w:r w:rsidR="00D061C8" w:rsidRPr="00D061C8">
        <w:rPr>
          <w:lang w:val="lt-LT"/>
        </w:rPr>
        <w:t>5</w:t>
      </w:r>
      <w:r w:rsidR="00940A77" w:rsidRPr="00D061C8">
        <w:rPr>
          <w:lang w:val="lt-LT"/>
        </w:rPr>
        <w:t xml:space="preserve"> </w:t>
      </w:r>
      <w:r w:rsidRPr="00D061C8">
        <w:rPr>
          <w:lang w:val="lt-LT"/>
        </w:rPr>
        <w:t xml:space="preserve">d. Aukštųjų mokyklų vertinimo komisijos (toliau – Komisija) posėdyje. Komisija pateikė motyvuotą siūlymą Centrui pritarti aukštosios mokyklos veiklos vertinimo išvadoms. </w:t>
      </w:r>
    </w:p>
    <w:p w14:paraId="7A98A54E" w14:textId="33AB8C9D" w:rsidR="00EF258F" w:rsidRPr="00D061C8" w:rsidRDefault="00EF258F" w:rsidP="006D723C">
      <w:pPr>
        <w:spacing w:line="276" w:lineRule="auto"/>
        <w:ind w:firstLine="540"/>
        <w:jc w:val="both"/>
        <w:rPr>
          <w:lang w:val="lt-LT"/>
        </w:rPr>
      </w:pPr>
      <w:r w:rsidRPr="00D061C8">
        <w:rPr>
          <w:lang w:val="lt-LT"/>
        </w:rPr>
        <w:t>Centras, remdamasis ekspertų išvadomis, atsižvelgdamas į Komisijos rekomendaciją, vadovaudamasis Aprašo 18</w:t>
      </w:r>
      <w:r w:rsidR="002C670A" w:rsidRPr="00D061C8">
        <w:rPr>
          <w:lang w:val="lt-LT"/>
        </w:rPr>
        <w:t xml:space="preserve"> ir 20 punktais</w:t>
      </w:r>
      <w:r w:rsidRPr="00D061C8">
        <w:rPr>
          <w:lang w:val="lt-LT"/>
        </w:rPr>
        <w:t xml:space="preserve">, </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520"/>
      </w:tblGrid>
      <w:tr w:rsidR="00EF258F" w:rsidRPr="002243A0" w14:paraId="5CB20AE6" w14:textId="77777777" w:rsidTr="002C670A">
        <w:trPr>
          <w:trHeight w:val="585"/>
        </w:trPr>
        <w:tc>
          <w:tcPr>
            <w:tcW w:w="9520" w:type="dxa"/>
            <w:shd w:val="clear" w:color="auto" w:fill="auto"/>
          </w:tcPr>
          <w:p w14:paraId="58735C8A" w14:textId="0458F169" w:rsidR="00EF258F" w:rsidRPr="0074683A" w:rsidRDefault="00EF258F" w:rsidP="00D061C8">
            <w:pPr>
              <w:spacing w:before="240" w:after="240" w:line="276" w:lineRule="auto"/>
              <w:jc w:val="center"/>
              <w:rPr>
                <w:sz w:val="23"/>
                <w:szCs w:val="23"/>
                <w:lang w:val="lt-LT"/>
              </w:rPr>
            </w:pPr>
            <w:r w:rsidRPr="004E7CA2">
              <w:rPr>
                <w:b/>
                <w:i/>
                <w:sz w:val="23"/>
                <w:szCs w:val="23"/>
                <w:lang w:val="lt-LT"/>
              </w:rPr>
              <w:t>priėmė spr</w:t>
            </w:r>
            <w:r w:rsidR="003A2AD9">
              <w:rPr>
                <w:b/>
                <w:i/>
                <w:sz w:val="23"/>
                <w:szCs w:val="23"/>
                <w:lang w:val="lt-LT"/>
              </w:rPr>
              <w:t>endimą LCC tarptautinio universiteto</w:t>
            </w:r>
            <w:r w:rsidR="00AA2868" w:rsidRPr="00AA2868">
              <w:rPr>
                <w:b/>
                <w:i/>
                <w:sz w:val="23"/>
                <w:szCs w:val="23"/>
                <w:lang w:val="lt-LT"/>
              </w:rPr>
              <w:t xml:space="preserve"> </w:t>
            </w:r>
            <w:r w:rsidRPr="0074683A">
              <w:rPr>
                <w:b/>
                <w:i/>
                <w:sz w:val="23"/>
                <w:szCs w:val="23"/>
                <w:lang w:val="lt-LT"/>
              </w:rPr>
              <w:t xml:space="preserve">veiklą įvertinti </w:t>
            </w:r>
            <w:r>
              <w:rPr>
                <w:b/>
                <w:i/>
                <w:sz w:val="23"/>
                <w:szCs w:val="23"/>
                <w:lang w:val="lt-LT"/>
              </w:rPr>
              <w:t>teigiamai</w:t>
            </w:r>
            <w:r w:rsidRPr="0074683A">
              <w:rPr>
                <w:b/>
                <w:i/>
                <w:sz w:val="23"/>
                <w:szCs w:val="23"/>
                <w:lang w:val="lt-LT"/>
              </w:rPr>
              <w:t>.</w:t>
            </w:r>
          </w:p>
        </w:tc>
      </w:tr>
    </w:tbl>
    <w:p w14:paraId="09535351" w14:textId="41F1B25D" w:rsidR="002C670A" w:rsidRDefault="002C670A" w:rsidP="006D723C">
      <w:pPr>
        <w:spacing w:line="276" w:lineRule="auto"/>
        <w:ind w:firstLine="567"/>
        <w:jc w:val="both"/>
        <w:rPr>
          <w:sz w:val="23"/>
          <w:szCs w:val="23"/>
          <w:lang w:val="lt-LT"/>
        </w:rPr>
      </w:pPr>
      <w:r w:rsidRPr="008C5791">
        <w:rPr>
          <w:lang w:val="lt-LT"/>
        </w:rPr>
        <w:t xml:space="preserve">Atkreipiame dėmesį, kad, vadovaujantis Aprašo </w:t>
      </w:r>
      <w:r>
        <w:rPr>
          <w:lang w:val="lt-LT"/>
        </w:rPr>
        <w:t>27</w:t>
      </w:r>
      <w:r w:rsidRPr="008C5791">
        <w:rPr>
          <w:lang w:val="lt-LT"/>
        </w:rPr>
        <w:t xml:space="preserve"> punk</w:t>
      </w:r>
      <w:r>
        <w:rPr>
          <w:lang w:val="lt-LT"/>
        </w:rPr>
        <w:t>tu</w:t>
      </w:r>
      <w:r w:rsidRPr="008C5791">
        <w:rPr>
          <w:lang w:val="lt-LT"/>
        </w:rPr>
        <w:t xml:space="preserve">, toliau </w:t>
      </w:r>
      <w:r>
        <w:rPr>
          <w:lang w:val="lt-LT"/>
        </w:rPr>
        <w:t xml:space="preserve">aukštojoje mokykloje </w:t>
      </w:r>
      <w:r w:rsidRPr="008C5791">
        <w:rPr>
          <w:lang w:val="lt-LT"/>
        </w:rPr>
        <w:t xml:space="preserve">turėtų būti vykdoma paskesnė veikla, kuria siekiama tobulinti aukštosios mokyklos veiklą, atsižvelgiant į išorinio vertinimo išvadas. Paskesnė veikla apima </w:t>
      </w:r>
      <w:r w:rsidRPr="008C5791">
        <w:rPr>
          <w:color w:val="000000"/>
          <w:lang w:val="lt-LT"/>
        </w:rPr>
        <w:t xml:space="preserve">veiklos </w:t>
      </w:r>
      <w:r>
        <w:rPr>
          <w:color w:val="000000"/>
          <w:lang w:val="lt-LT"/>
        </w:rPr>
        <w:t>tobulinimo</w:t>
      </w:r>
      <w:r w:rsidRPr="008C5791">
        <w:rPr>
          <w:color w:val="000000"/>
          <w:lang w:val="lt-LT"/>
        </w:rPr>
        <w:t xml:space="preserve"> priemonių numatymą</w:t>
      </w:r>
      <w:r>
        <w:rPr>
          <w:color w:val="000000"/>
          <w:lang w:val="lt-LT"/>
        </w:rPr>
        <w:t>,</w:t>
      </w:r>
      <w:r w:rsidRPr="008C5791">
        <w:rPr>
          <w:color w:val="000000"/>
          <w:lang w:val="lt-LT"/>
        </w:rPr>
        <w:t xml:space="preserve"> jų įgyvendinimą</w:t>
      </w:r>
      <w:r>
        <w:rPr>
          <w:color w:val="000000"/>
          <w:lang w:val="lt-LT"/>
        </w:rPr>
        <w:t xml:space="preserve"> bei stebėseną</w:t>
      </w:r>
      <w:r w:rsidRPr="008C5791">
        <w:rPr>
          <w:color w:val="000000"/>
          <w:lang w:val="lt-LT"/>
        </w:rPr>
        <w:t xml:space="preserve">. Aukštosios mokyklos nusistatytos veiklos </w:t>
      </w:r>
      <w:r>
        <w:rPr>
          <w:color w:val="000000"/>
          <w:lang w:val="lt-LT"/>
        </w:rPr>
        <w:t>tobulinimo</w:t>
      </w:r>
      <w:r w:rsidRPr="008C5791">
        <w:rPr>
          <w:color w:val="000000"/>
          <w:lang w:val="lt-LT"/>
        </w:rPr>
        <w:t xml:space="preserve"> pri</w:t>
      </w:r>
      <w:r>
        <w:rPr>
          <w:color w:val="000000"/>
          <w:lang w:val="lt-LT"/>
        </w:rPr>
        <w:t>e</w:t>
      </w:r>
      <w:r w:rsidRPr="008C5791">
        <w:rPr>
          <w:color w:val="000000"/>
          <w:lang w:val="lt-LT"/>
        </w:rPr>
        <w:t xml:space="preserve">monės turėtų būti paskelbtos </w:t>
      </w:r>
      <w:r w:rsidRPr="008C5791">
        <w:rPr>
          <w:lang w:val="lt-LT"/>
        </w:rPr>
        <w:t>viešai ne vėliau kaip per 6 mėnesius nuo sprendimo dėl akreditavimo įsigaliojimo dienos bei apie tai</w:t>
      </w:r>
      <w:r>
        <w:rPr>
          <w:lang w:val="lt-LT"/>
        </w:rPr>
        <w:t xml:space="preserve"> turi būti</w:t>
      </w:r>
      <w:r w:rsidRPr="008C5791">
        <w:rPr>
          <w:lang w:val="lt-LT"/>
        </w:rPr>
        <w:t xml:space="preserve"> informuot</w:t>
      </w:r>
      <w:r>
        <w:rPr>
          <w:lang w:val="lt-LT"/>
        </w:rPr>
        <w:t>as</w:t>
      </w:r>
      <w:r w:rsidRPr="008C5791">
        <w:rPr>
          <w:lang w:val="lt-LT"/>
        </w:rPr>
        <w:t xml:space="preserve"> </w:t>
      </w:r>
      <w:r>
        <w:rPr>
          <w:lang w:val="lt-LT"/>
        </w:rPr>
        <w:t>Centras. Aukštoji mokykla,</w:t>
      </w:r>
      <w:r w:rsidRPr="00880D08">
        <w:rPr>
          <w:lang w:val="lt-LT"/>
        </w:rPr>
        <w:t xml:space="preserve"> įgyvendin</w:t>
      </w:r>
      <w:r>
        <w:rPr>
          <w:lang w:val="lt-LT"/>
        </w:rPr>
        <w:t>dama</w:t>
      </w:r>
      <w:r w:rsidRPr="00880D08">
        <w:rPr>
          <w:lang w:val="lt-LT"/>
        </w:rPr>
        <w:t xml:space="preserve"> numatytas priemones</w:t>
      </w:r>
      <w:r>
        <w:rPr>
          <w:lang w:val="lt-LT"/>
        </w:rPr>
        <w:t>,</w:t>
      </w:r>
      <w:r w:rsidRPr="00880D08">
        <w:rPr>
          <w:lang w:val="lt-LT"/>
        </w:rPr>
        <w:t xml:space="preserve"> pareng</w:t>
      </w:r>
      <w:r>
        <w:rPr>
          <w:lang w:val="lt-LT"/>
        </w:rPr>
        <w:t>ia</w:t>
      </w:r>
      <w:r w:rsidRPr="00880D08">
        <w:rPr>
          <w:lang w:val="lt-LT"/>
        </w:rPr>
        <w:t xml:space="preserve"> išorinio vertinimo rekomendacijų įgyvendinimo pažangos ataskaitą ir viešina ją </w:t>
      </w:r>
      <w:r>
        <w:rPr>
          <w:lang w:val="lt-LT"/>
        </w:rPr>
        <w:t>savo</w:t>
      </w:r>
      <w:r w:rsidRPr="00880D08">
        <w:rPr>
          <w:lang w:val="lt-LT"/>
        </w:rPr>
        <w:t xml:space="preserve"> tinklapyje bei</w:t>
      </w:r>
      <w:r>
        <w:rPr>
          <w:lang w:val="lt-LT"/>
        </w:rPr>
        <w:t xml:space="preserve">, vadovaudamasi Metodikos </w:t>
      </w:r>
      <w:r w:rsidRPr="00880D08">
        <w:rPr>
          <w:lang w:val="lt-LT"/>
        </w:rPr>
        <w:t>5</w:t>
      </w:r>
      <w:r>
        <w:rPr>
          <w:lang w:val="lt-LT"/>
        </w:rPr>
        <w:t>0</w:t>
      </w:r>
      <w:r w:rsidRPr="00880D08">
        <w:rPr>
          <w:lang w:val="lt-LT"/>
        </w:rPr>
        <w:t>.2.</w:t>
      </w:r>
      <w:r>
        <w:rPr>
          <w:lang w:val="lt-LT"/>
        </w:rPr>
        <w:t>3</w:t>
      </w:r>
      <w:r w:rsidRPr="00880D08">
        <w:rPr>
          <w:lang w:val="lt-LT"/>
        </w:rPr>
        <w:t>.</w:t>
      </w:r>
      <w:r>
        <w:rPr>
          <w:lang w:val="lt-LT"/>
        </w:rPr>
        <w:t xml:space="preserve"> punktu,</w:t>
      </w:r>
      <w:r w:rsidRPr="00880D08">
        <w:rPr>
          <w:lang w:val="lt-LT"/>
        </w:rPr>
        <w:t xml:space="preserve"> teik</w:t>
      </w:r>
      <w:r>
        <w:rPr>
          <w:lang w:val="lt-LT"/>
        </w:rPr>
        <w:t>ia ją</w:t>
      </w:r>
      <w:r w:rsidRPr="00880D08">
        <w:rPr>
          <w:lang w:val="lt-LT"/>
        </w:rPr>
        <w:t xml:space="preserve"> Centrui</w:t>
      </w:r>
      <w:r>
        <w:rPr>
          <w:lang w:val="lt-LT"/>
        </w:rPr>
        <w:t xml:space="preserve"> </w:t>
      </w:r>
      <w:r w:rsidRPr="00880D08">
        <w:rPr>
          <w:lang w:val="lt-LT"/>
        </w:rPr>
        <w:t xml:space="preserve">per </w:t>
      </w:r>
      <w:r>
        <w:rPr>
          <w:lang w:val="lt-LT"/>
        </w:rPr>
        <w:t>3</w:t>
      </w:r>
      <w:r w:rsidRPr="00880D08">
        <w:rPr>
          <w:lang w:val="lt-LT"/>
        </w:rPr>
        <w:t xml:space="preserve"> metus nuo veiklos tobulinimo priemonių paskelbimo</w:t>
      </w:r>
      <w:r>
        <w:rPr>
          <w:lang w:val="lt-LT"/>
        </w:rPr>
        <w:t>.</w:t>
      </w:r>
    </w:p>
    <w:p w14:paraId="3559018E" w14:textId="573E3A67" w:rsidR="00EF258F" w:rsidRPr="00D061C8" w:rsidRDefault="00EF258F" w:rsidP="006D723C">
      <w:pPr>
        <w:spacing w:line="276" w:lineRule="auto"/>
        <w:ind w:firstLine="567"/>
        <w:jc w:val="both"/>
        <w:rPr>
          <w:lang w:val="lt-LT"/>
        </w:rPr>
      </w:pPr>
      <w:r w:rsidRPr="00D061C8">
        <w:rPr>
          <w:lang w:val="lt-LT"/>
        </w:rPr>
        <w:lastRenderedPageBreak/>
        <w:t>Nesutikdami su šiuo Centro sprendimu, Jūs turite teisę, vadovaudamiesi Aprašo 30 punktu, per 10 darbo dienų nuo šio sprendimo gavimo dienos pateikti motyvuotą skundą Centro sudarytai apeliacinei komisijai. Šis sprendimas taip pat gali būti skundžiamas Lietuvos Respublikos administracinių bylų teisenos įstatymo nustatyta tvarka Vilniaus apygardos administraciniam teismui (buveinės adresas – Žygimantų g. 2, Vilnius) per vieną mėnesį nuo šio sprendimo gavimo dienos.</w:t>
      </w:r>
    </w:p>
    <w:p w14:paraId="6182E2F6" w14:textId="7549E0B7" w:rsidR="005E1359" w:rsidRDefault="005E1359" w:rsidP="006D723C">
      <w:pPr>
        <w:spacing w:line="276" w:lineRule="auto"/>
        <w:ind w:firstLine="567"/>
        <w:jc w:val="both"/>
        <w:rPr>
          <w:sz w:val="23"/>
          <w:szCs w:val="23"/>
          <w:lang w:val="lt-LT"/>
        </w:rPr>
      </w:pPr>
    </w:p>
    <w:p w14:paraId="2E3EB528" w14:textId="77777777" w:rsidR="005E1359" w:rsidRPr="0074683A" w:rsidRDefault="005E1359" w:rsidP="006D723C">
      <w:pPr>
        <w:spacing w:line="276" w:lineRule="auto"/>
        <w:ind w:firstLine="567"/>
        <w:jc w:val="both"/>
        <w:rPr>
          <w:sz w:val="23"/>
          <w:szCs w:val="23"/>
          <w:lang w:val="lt-LT"/>
        </w:rPr>
      </w:pPr>
    </w:p>
    <w:p w14:paraId="5FB46582" w14:textId="77777777" w:rsidR="00EF258F" w:rsidRPr="00D061C8" w:rsidRDefault="00EF258F" w:rsidP="006D723C">
      <w:pPr>
        <w:spacing w:line="276" w:lineRule="auto"/>
        <w:jc w:val="both"/>
        <w:rPr>
          <w:lang w:val="lt-LT"/>
        </w:rPr>
      </w:pPr>
      <w:r w:rsidRPr="00D061C8">
        <w:rPr>
          <w:lang w:val="lt-LT"/>
        </w:rPr>
        <w:t xml:space="preserve">PRIDEDAMA: </w:t>
      </w:r>
    </w:p>
    <w:p w14:paraId="26A71AE6" w14:textId="7438AD08" w:rsidR="00EF258F" w:rsidRPr="00D061C8" w:rsidRDefault="00EF258F" w:rsidP="006D723C">
      <w:pPr>
        <w:numPr>
          <w:ilvl w:val="0"/>
          <w:numId w:val="4"/>
        </w:numPr>
        <w:spacing w:line="276" w:lineRule="auto"/>
        <w:jc w:val="both"/>
        <w:rPr>
          <w:lang w:val="lt-LT"/>
        </w:rPr>
      </w:pPr>
      <w:r w:rsidRPr="00D061C8">
        <w:rPr>
          <w:lang w:val="lt-LT"/>
        </w:rPr>
        <w:t xml:space="preserve">Aukštosios mokyklos vertinimo išvados, </w:t>
      </w:r>
      <w:r w:rsidR="00AD6EE6" w:rsidRPr="00D061C8">
        <w:rPr>
          <w:lang w:val="lt-LT"/>
        </w:rPr>
        <w:t>3</w:t>
      </w:r>
      <w:r w:rsidR="00B33A6F" w:rsidRPr="00D061C8">
        <w:rPr>
          <w:lang w:val="lt-LT"/>
        </w:rPr>
        <w:t>5</w:t>
      </w:r>
      <w:r w:rsidR="00AD6EE6" w:rsidRPr="00D061C8">
        <w:rPr>
          <w:lang w:val="lt-LT"/>
        </w:rPr>
        <w:t xml:space="preserve"> </w:t>
      </w:r>
      <w:r w:rsidRPr="00D061C8">
        <w:rPr>
          <w:lang w:val="lt-LT"/>
        </w:rPr>
        <w:t>lap</w:t>
      </w:r>
      <w:r w:rsidR="001062F3" w:rsidRPr="00D061C8">
        <w:rPr>
          <w:lang w:val="lt-LT"/>
        </w:rPr>
        <w:t>ai</w:t>
      </w:r>
      <w:r w:rsidRPr="00D061C8">
        <w:rPr>
          <w:lang w:val="lt-LT"/>
        </w:rPr>
        <w:t>;</w:t>
      </w:r>
    </w:p>
    <w:p w14:paraId="73BFA7E4" w14:textId="4EF7CFBE" w:rsidR="00EF258F" w:rsidRPr="00D061C8" w:rsidRDefault="00EF258F" w:rsidP="006D723C">
      <w:pPr>
        <w:numPr>
          <w:ilvl w:val="0"/>
          <w:numId w:val="4"/>
        </w:numPr>
        <w:spacing w:line="276" w:lineRule="auto"/>
        <w:jc w:val="both"/>
        <w:rPr>
          <w:i/>
          <w:lang w:val="lt-LT"/>
        </w:rPr>
      </w:pPr>
      <w:r w:rsidRPr="00D061C8">
        <w:rPr>
          <w:lang w:val="lt-LT"/>
        </w:rPr>
        <w:t>Aukštosios mokyklos vertinimo išvadų vertimas į lietuvių kalbą,</w:t>
      </w:r>
      <w:r w:rsidRPr="002243A0">
        <w:rPr>
          <w:lang w:val="lt-LT"/>
        </w:rPr>
        <w:t xml:space="preserve"> </w:t>
      </w:r>
      <w:r w:rsidR="00F71694" w:rsidRPr="002243A0">
        <w:rPr>
          <w:lang w:val="lt-LT"/>
        </w:rPr>
        <w:t>3</w:t>
      </w:r>
      <w:r w:rsidR="00E728BD" w:rsidRPr="002243A0">
        <w:rPr>
          <w:lang w:val="lt-LT"/>
        </w:rPr>
        <w:t>4</w:t>
      </w:r>
      <w:r w:rsidR="00F71694" w:rsidRPr="002243A0">
        <w:rPr>
          <w:lang w:val="lt-LT"/>
        </w:rPr>
        <w:t xml:space="preserve"> </w:t>
      </w:r>
      <w:r w:rsidRPr="00D061C8">
        <w:rPr>
          <w:lang w:val="lt-LT"/>
        </w:rPr>
        <w:t>lap</w:t>
      </w:r>
      <w:r w:rsidR="001062F3" w:rsidRPr="00D061C8">
        <w:rPr>
          <w:lang w:val="lt-LT"/>
        </w:rPr>
        <w:t>ai</w:t>
      </w:r>
      <w:r w:rsidRPr="00D061C8">
        <w:rPr>
          <w:lang w:val="lt-LT"/>
        </w:rPr>
        <w:t>.</w:t>
      </w:r>
    </w:p>
    <w:p w14:paraId="750FBA60" w14:textId="77C8FB83" w:rsidR="00EF258F" w:rsidRDefault="00EF258F" w:rsidP="006D723C">
      <w:pPr>
        <w:tabs>
          <w:tab w:val="left" w:pos="1670"/>
        </w:tabs>
        <w:spacing w:line="276" w:lineRule="auto"/>
        <w:jc w:val="both"/>
        <w:rPr>
          <w:color w:val="000000"/>
          <w:sz w:val="23"/>
          <w:szCs w:val="23"/>
          <w:lang w:val="lt-LT"/>
        </w:rPr>
      </w:pPr>
    </w:p>
    <w:p w14:paraId="7465B5AA" w14:textId="7CF73C4E" w:rsidR="005E1359" w:rsidRDefault="005E1359" w:rsidP="006D723C">
      <w:pPr>
        <w:tabs>
          <w:tab w:val="left" w:pos="1670"/>
        </w:tabs>
        <w:spacing w:line="276" w:lineRule="auto"/>
        <w:jc w:val="both"/>
        <w:rPr>
          <w:color w:val="000000"/>
          <w:sz w:val="23"/>
          <w:szCs w:val="23"/>
          <w:lang w:val="lt-LT"/>
        </w:rPr>
      </w:pPr>
    </w:p>
    <w:p w14:paraId="7463C279" w14:textId="32289EDC" w:rsidR="005E1359" w:rsidRDefault="005E1359" w:rsidP="006D723C">
      <w:pPr>
        <w:tabs>
          <w:tab w:val="left" w:pos="1670"/>
        </w:tabs>
        <w:spacing w:line="276" w:lineRule="auto"/>
        <w:jc w:val="both"/>
        <w:rPr>
          <w:color w:val="000000"/>
          <w:sz w:val="23"/>
          <w:szCs w:val="23"/>
          <w:lang w:val="lt-LT"/>
        </w:rPr>
      </w:pPr>
    </w:p>
    <w:p w14:paraId="5B631DFC" w14:textId="77777777" w:rsidR="005E1359" w:rsidRPr="0074683A" w:rsidRDefault="005E1359" w:rsidP="006D723C">
      <w:pPr>
        <w:tabs>
          <w:tab w:val="left" w:pos="1670"/>
        </w:tabs>
        <w:spacing w:line="276" w:lineRule="auto"/>
        <w:jc w:val="both"/>
        <w:rPr>
          <w:color w:val="000000"/>
          <w:sz w:val="23"/>
          <w:szCs w:val="23"/>
          <w:lang w:val="lt-LT"/>
        </w:rPr>
      </w:pPr>
    </w:p>
    <w:p w14:paraId="5A2A3F49" w14:textId="45EF31DE" w:rsidR="00985F75" w:rsidRDefault="00BB15CF" w:rsidP="00D061C8">
      <w:pPr>
        <w:tabs>
          <w:tab w:val="right" w:pos="9638"/>
        </w:tabs>
        <w:jc w:val="both"/>
      </w:pPr>
      <w:r w:rsidRPr="00FF6BD4">
        <w:rPr>
          <w:lang w:val="lt-LT"/>
        </w:rPr>
        <w:t>Direktori</w:t>
      </w:r>
      <w:r w:rsidR="00457CBD" w:rsidRPr="00FF6BD4">
        <w:rPr>
          <w:lang w:val="lt-LT"/>
        </w:rPr>
        <w:t>us</w:t>
      </w:r>
      <w:r w:rsidR="001B4AD7">
        <w:tab/>
        <w:t>Almantas Šerpatauskas</w:t>
      </w:r>
    </w:p>
    <w:sectPr w:rsidR="00985F75" w:rsidSect="00D061C8">
      <w:footerReference w:type="default" r:id="rId10"/>
      <w:pgSz w:w="11906" w:h="16838"/>
      <w:pgMar w:top="851" w:right="567" w:bottom="1276" w:left="1701" w:header="567" w:footer="1014"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7ED44" w14:textId="77777777" w:rsidR="004957AC" w:rsidRDefault="004957AC" w:rsidP="00890216">
      <w:r>
        <w:separator/>
      </w:r>
    </w:p>
  </w:endnote>
  <w:endnote w:type="continuationSeparator" w:id="0">
    <w:p w14:paraId="78E3C5E3" w14:textId="77777777" w:rsidR="004957AC" w:rsidRDefault="004957AC" w:rsidP="00890216">
      <w:r>
        <w:continuationSeparator/>
      </w:r>
    </w:p>
  </w:endnote>
  <w:endnote w:type="continuationNotice" w:id="1">
    <w:p w14:paraId="71517F78" w14:textId="77777777" w:rsidR="002A0219" w:rsidRDefault="002A02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603BE" w14:textId="65A5482B" w:rsidR="002C670A" w:rsidRPr="002243A0" w:rsidRDefault="002C670A" w:rsidP="00FF6BD4">
    <w:pPr>
      <w:tabs>
        <w:tab w:val="left" w:pos="2460"/>
      </w:tabs>
      <w:rPr>
        <w:sz w:val="20"/>
        <w:szCs w:val="20"/>
        <w:lang w:val="sv-SE"/>
      </w:rPr>
    </w:pPr>
    <w:r w:rsidRPr="002243A0">
      <w:rPr>
        <w:sz w:val="20"/>
        <w:szCs w:val="20"/>
        <w:lang w:val="sv-SE"/>
      </w:rPr>
      <w:t>Sigitas Puodžiukas, tel. (8 5) 205 33 20, el. p. sigitas.puodziukas@skvc.lt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91822" w14:textId="77777777" w:rsidR="004957AC" w:rsidRDefault="004957AC" w:rsidP="00890216">
      <w:r>
        <w:separator/>
      </w:r>
    </w:p>
  </w:footnote>
  <w:footnote w:type="continuationSeparator" w:id="0">
    <w:p w14:paraId="6642DCFC" w14:textId="77777777" w:rsidR="004957AC" w:rsidRDefault="004957AC" w:rsidP="00890216">
      <w:r>
        <w:continuationSeparator/>
      </w:r>
    </w:p>
  </w:footnote>
  <w:footnote w:type="continuationNotice" w:id="1">
    <w:p w14:paraId="728581D8" w14:textId="77777777" w:rsidR="002A0219" w:rsidRDefault="002A02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0533AF"/>
    <w:multiLevelType w:val="hybridMultilevel"/>
    <w:tmpl w:val="9C5ACB7A"/>
    <w:lvl w:ilvl="0" w:tplc="EECCA85E">
      <w:start w:val="1"/>
      <w:numFmt w:val="decimal"/>
      <w:lvlText w:val="(%1)"/>
      <w:lvlJc w:val="left"/>
      <w:pPr>
        <w:ind w:left="1080" w:hanging="360"/>
      </w:pPr>
      <w:rPr>
        <w:rFonts w:hint="default"/>
        <w:color w:val="auto"/>
        <w:sz w:val="23"/>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6EA2090F"/>
    <w:multiLevelType w:val="hybridMultilevel"/>
    <w:tmpl w:val="E8522254"/>
    <w:lvl w:ilvl="0" w:tplc="3C38839A">
      <w:start w:val="1"/>
      <w:numFmt w:val="decimal"/>
      <w:lvlText w:val="%1."/>
      <w:lvlJc w:val="left"/>
      <w:pPr>
        <w:tabs>
          <w:tab w:val="num" w:pos="720"/>
        </w:tabs>
        <w:ind w:left="720" w:hanging="360"/>
      </w:pPr>
      <w:rPr>
        <w:i w:val="0"/>
        <w:iCs/>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 w15:restartNumberingAfterBreak="0">
    <w:nsid w:val="6F816C33"/>
    <w:multiLevelType w:val="hybridMultilevel"/>
    <w:tmpl w:val="9C5ACB7A"/>
    <w:lvl w:ilvl="0" w:tplc="EECCA85E">
      <w:start w:val="1"/>
      <w:numFmt w:val="decimal"/>
      <w:lvlText w:val="(%1)"/>
      <w:lvlJc w:val="left"/>
      <w:pPr>
        <w:ind w:left="1080" w:hanging="360"/>
      </w:pPr>
      <w:rPr>
        <w:rFonts w:hint="default"/>
        <w:color w:val="auto"/>
        <w:sz w:val="23"/>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7FE84762"/>
    <w:multiLevelType w:val="hybridMultilevel"/>
    <w:tmpl w:val="D7C2E0FE"/>
    <w:lvl w:ilvl="0" w:tplc="8D0EEAE4">
      <w:start w:val="2023"/>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15D"/>
    <w:rsid w:val="00027128"/>
    <w:rsid w:val="00032E20"/>
    <w:rsid w:val="000A5EE7"/>
    <w:rsid w:val="000E44AD"/>
    <w:rsid w:val="001062F3"/>
    <w:rsid w:val="00112C72"/>
    <w:rsid w:val="0013704D"/>
    <w:rsid w:val="00165C46"/>
    <w:rsid w:val="001742C9"/>
    <w:rsid w:val="00193EE3"/>
    <w:rsid w:val="001A47E8"/>
    <w:rsid w:val="001B2803"/>
    <w:rsid w:val="001B4AD7"/>
    <w:rsid w:val="00210E67"/>
    <w:rsid w:val="002243A0"/>
    <w:rsid w:val="002A0219"/>
    <w:rsid w:val="002A0362"/>
    <w:rsid w:val="002C670A"/>
    <w:rsid w:val="002C70A7"/>
    <w:rsid w:val="002F0FE2"/>
    <w:rsid w:val="00310E07"/>
    <w:rsid w:val="003A2AD9"/>
    <w:rsid w:val="00445B53"/>
    <w:rsid w:val="00457CBD"/>
    <w:rsid w:val="004957AC"/>
    <w:rsid w:val="004C4C51"/>
    <w:rsid w:val="004E3629"/>
    <w:rsid w:val="004E52B3"/>
    <w:rsid w:val="00504A2E"/>
    <w:rsid w:val="005254EE"/>
    <w:rsid w:val="005533C0"/>
    <w:rsid w:val="00556DD7"/>
    <w:rsid w:val="00581227"/>
    <w:rsid w:val="005E1359"/>
    <w:rsid w:val="005E276E"/>
    <w:rsid w:val="006451C7"/>
    <w:rsid w:val="006476B9"/>
    <w:rsid w:val="006534B9"/>
    <w:rsid w:val="00663128"/>
    <w:rsid w:val="006841EB"/>
    <w:rsid w:val="00692624"/>
    <w:rsid w:val="00696D81"/>
    <w:rsid w:val="006D723C"/>
    <w:rsid w:val="007246B7"/>
    <w:rsid w:val="00724E02"/>
    <w:rsid w:val="007671C2"/>
    <w:rsid w:val="007A7AC8"/>
    <w:rsid w:val="00890216"/>
    <w:rsid w:val="008B5337"/>
    <w:rsid w:val="008B7A97"/>
    <w:rsid w:val="008E03D2"/>
    <w:rsid w:val="009338DA"/>
    <w:rsid w:val="00940A77"/>
    <w:rsid w:val="00941087"/>
    <w:rsid w:val="00961F51"/>
    <w:rsid w:val="00982422"/>
    <w:rsid w:val="00985F75"/>
    <w:rsid w:val="009A1CC9"/>
    <w:rsid w:val="00A456A8"/>
    <w:rsid w:val="00A708F0"/>
    <w:rsid w:val="00AA11C8"/>
    <w:rsid w:val="00AA2868"/>
    <w:rsid w:val="00AD08ED"/>
    <w:rsid w:val="00AD34B1"/>
    <w:rsid w:val="00AD6EE6"/>
    <w:rsid w:val="00B33A6F"/>
    <w:rsid w:val="00B33BA0"/>
    <w:rsid w:val="00B7615D"/>
    <w:rsid w:val="00BB09A0"/>
    <w:rsid w:val="00BB15CF"/>
    <w:rsid w:val="00BB23D2"/>
    <w:rsid w:val="00BF6A56"/>
    <w:rsid w:val="00C256A4"/>
    <w:rsid w:val="00C30170"/>
    <w:rsid w:val="00C878C5"/>
    <w:rsid w:val="00CC0BF7"/>
    <w:rsid w:val="00CC0E46"/>
    <w:rsid w:val="00CC0F0F"/>
    <w:rsid w:val="00CF0A5E"/>
    <w:rsid w:val="00D061C8"/>
    <w:rsid w:val="00D424D9"/>
    <w:rsid w:val="00D44D01"/>
    <w:rsid w:val="00D470D1"/>
    <w:rsid w:val="00D47CEA"/>
    <w:rsid w:val="00D91C03"/>
    <w:rsid w:val="00DA55BF"/>
    <w:rsid w:val="00E1779C"/>
    <w:rsid w:val="00E4067A"/>
    <w:rsid w:val="00E728BD"/>
    <w:rsid w:val="00E750BB"/>
    <w:rsid w:val="00E82C0A"/>
    <w:rsid w:val="00E862D4"/>
    <w:rsid w:val="00EF258F"/>
    <w:rsid w:val="00F01E1F"/>
    <w:rsid w:val="00F507E2"/>
    <w:rsid w:val="00F5571A"/>
    <w:rsid w:val="00F71694"/>
    <w:rsid w:val="00F735FF"/>
    <w:rsid w:val="00F950A9"/>
    <w:rsid w:val="00FB593A"/>
    <w:rsid w:val="00FD563E"/>
    <w:rsid w:val="00FF2C28"/>
    <w:rsid w:val="00FF6BD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15DF48"/>
  <w15:chartTrackingRefBased/>
  <w15:docId w15:val="{717FCBB7-403B-4F0B-AF95-6214555B2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7615D"/>
    <w:pPr>
      <w:spacing w:after="0" w:line="240" w:lineRule="auto"/>
    </w:pPr>
    <w:rPr>
      <w:rFonts w:ascii="Times New Roman" w:eastAsia="Times New Roman" w:hAnsi="Times New Roman" w:cs="Times New Roman"/>
      <w:sz w:val="24"/>
      <w:szCs w:val="24"/>
      <w:lang w:val="en-GB"/>
    </w:rPr>
  </w:style>
  <w:style w:type="paragraph" w:styleId="Antrat2">
    <w:name w:val="heading 2"/>
    <w:basedOn w:val="prastasis"/>
    <w:next w:val="prastasis"/>
    <w:link w:val="Antrat2Diagrama"/>
    <w:qFormat/>
    <w:rsid w:val="00B7615D"/>
    <w:pPr>
      <w:keepNext/>
      <w:jc w:val="center"/>
      <w:outlineLvl w:val="1"/>
    </w:pPr>
    <w:rPr>
      <w:rFonts w:eastAsia="Arial Unicode MS"/>
      <w:b/>
      <w:sz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rsid w:val="00B7615D"/>
    <w:rPr>
      <w:rFonts w:ascii="Times New Roman" w:eastAsia="Arial Unicode MS" w:hAnsi="Times New Roman" w:cs="Times New Roman"/>
      <w:b/>
      <w:szCs w:val="24"/>
      <w:lang w:val="en-GB"/>
    </w:rPr>
  </w:style>
  <w:style w:type="paragraph" w:styleId="Antrats">
    <w:name w:val="header"/>
    <w:basedOn w:val="prastasis"/>
    <w:link w:val="AntratsDiagrama"/>
    <w:rsid w:val="00B7615D"/>
    <w:pPr>
      <w:tabs>
        <w:tab w:val="center" w:pos="4677"/>
        <w:tab w:val="right" w:pos="9355"/>
      </w:tabs>
    </w:pPr>
  </w:style>
  <w:style w:type="character" w:customStyle="1" w:styleId="AntratsDiagrama">
    <w:name w:val="Antraštės Diagrama"/>
    <w:basedOn w:val="Numatytasispastraiposriftas"/>
    <w:link w:val="Antrats"/>
    <w:rsid w:val="00B7615D"/>
    <w:rPr>
      <w:rFonts w:ascii="Times New Roman" w:eastAsia="Times New Roman" w:hAnsi="Times New Roman" w:cs="Times New Roman"/>
      <w:sz w:val="24"/>
      <w:szCs w:val="24"/>
      <w:lang w:val="en-GB"/>
    </w:rPr>
  </w:style>
  <w:style w:type="paragraph" w:styleId="Pagrindinistekstas">
    <w:name w:val="Body Text"/>
    <w:basedOn w:val="prastasis"/>
    <w:link w:val="PagrindinistekstasDiagrama"/>
    <w:rsid w:val="00B7615D"/>
    <w:pPr>
      <w:tabs>
        <w:tab w:val="num" w:pos="0"/>
      </w:tabs>
      <w:jc w:val="both"/>
    </w:pPr>
    <w:rPr>
      <w:lang w:val="lt-LT"/>
    </w:rPr>
  </w:style>
  <w:style w:type="character" w:customStyle="1" w:styleId="PagrindinistekstasDiagrama">
    <w:name w:val="Pagrindinis tekstas Diagrama"/>
    <w:basedOn w:val="Numatytasispastraiposriftas"/>
    <w:link w:val="Pagrindinistekstas"/>
    <w:rsid w:val="00B7615D"/>
    <w:rPr>
      <w:rFonts w:ascii="Times New Roman" w:eastAsia="Times New Roman" w:hAnsi="Times New Roman" w:cs="Times New Roman"/>
      <w:sz w:val="24"/>
      <w:szCs w:val="24"/>
    </w:rPr>
  </w:style>
  <w:style w:type="paragraph" w:styleId="Porat">
    <w:name w:val="footer"/>
    <w:basedOn w:val="prastasis"/>
    <w:link w:val="PoratDiagrama"/>
    <w:uiPriority w:val="99"/>
    <w:rsid w:val="00B7615D"/>
    <w:pPr>
      <w:tabs>
        <w:tab w:val="center" w:pos="4819"/>
        <w:tab w:val="right" w:pos="9638"/>
      </w:tabs>
    </w:pPr>
  </w:style>
  <w:style w:type="character" w:customStyle="1" w:styleId="PoratDiagrama">
    <w:name w:val="Poraštė Diagrama"/>
    <w:basedOn w:val="Numatytasispastraiposriftas"/>
    <w:link w:val="Porat"/>
    <w:uiPriority w:val="99"/>
    <w:rsid w:val="00B7615D"/>
    <w:rPr>
      <w:rFonts w:ascii="Times New Roman" w:eastAsia="Times New Roman" w:hAnsi="Times New Roman" w:cs="Times New Roman"/>
      <w:sz w:val="24"/>
      <w:szCs w:val="24"/>
      <w:lang w:val="en-GB"/>
    </w:rPr>
  </w:style>
  <w:style w:type="character" w:customStyle="1" w:styleId="dlx-ws-normal">
    <w:name w:val="dlx-ws-normal"/>
    <w:basedOn w:val="Numatytasispastraiposriftas"/>
    <w:rsid w:val="00D424D9"/>
  </w:style>
  <w:style w:type="character" w:styleId="Komentaronuoroda">
    <w:name w:val="annotation reference"/>
    <w:basedOn w:val="Numatytasispastraiposriftas"/>
    <w:uiPriority w:val="99"/>
    <w:semiHidden/>
    <w:unhideWhenUsed/>
    <w:rsid w:val="00CC0E46"/>
    <w:rPr>
      <w:sz w:val="16"/>
      <w:szCs w:val="16"/>
    </w:rPr>
  </w:style>
  <w:style w:type="paragraph" w:styleId="Komentarotekstas">
    <w:name w:val="annotation text"/>
    <w:basedOn w:val="prastasis"/>
    <w:link w:val="KomentarotekstasDiagrama"/>
    <w:uiPriority w:val="99"/>
    <w:semiHidden/>
    <w:unhideWhenUsed/>
    <w:rsid w:val="00CC0E46"/>
    <w:rPr>
      <w:sz w:val="20"/>
      <w:szCs w:val="20"/>
    </w:rPr>
  </w:style>
  <w:style w:type="character" w:customStyle="1" w:styleId="KomentarotekstasDiagrama">
    <w:name w:val="Komentaro tekstas Diagrama"/>
    <w:basedOn w:val="Numatytasispastraiposriftas"/>
    <w:link w:val="Komentarotekstas"/>
    <w:uiPriority w:val="99"/>
    <w:semiHidden/>
    <w:rsid w:val="00CC0E46"/>
    <w:rPr>
      <w:rFonts w:ascii="Times New Roman" w:eastAsia="Times New Roman" w:hAnsi="Times New Roman" w:cs="Times New Roman"/>
      <w:sz w:val="20"/>
      <w:szCs w:val="20"/>
      <w:lang w:val="en-GB"/>
    </w:rPr>
  </w:style>
  <w:style w:type="paragraph" w:styleId="Komentarotema">
    <w:name w:val="annotation subject"/>
    <w:basedOn w:val="Komentarotekstas"/>
    <w:next w:val="Komentarotekstas"/>
    <w:link w:val="KomentarotemaDiagrama"/>
    <w:uiPriority w:val="99"/>
    <w:semiHidden/>
    <w:unhideWhenUsed/>
    <w:rsid w:val="00CC0E46"/>
    <w:rPr>
      <w:b/>
      <w:bCs/>
    </w:rPr>
  </w:style>
  <w:style w:type="character" w:customStyle="1" w:styleId="KomentarotemaDiagrama">
    <w:name w:val="Komentaro tema Diagrama"/>
    <w:basedOn w:val="KomentarotekstasDiagrama"/>
    <w:link w:val="Komentarotema"/>
    <w:uiPriority w:val="99"/>
    <w:semiHidden/>
    <w:rsid w:val="00CC0E46"/>
    <w:rPr>
      <w:rFonts w:ascii="Times New Roman" w:eastAsia="Times New Roman" w:hAnsi="Times New Roman" w:cs="Times New Roman"/>
      <w:b/>
      <w:bCs/>
      <w:sz w:val="20"/>
      <w:szCs w:val="20"/>
      <w:lang w:val="en-GB"/>
    </w:rPr>
  </w:style>
  <w:style w:type="paragraph" w:styleId="Pataisymai">
    <w:name w:val="Revision"/>
    <w:hidden/>
    <w:uiPriority w:val="99"/>
    <w:semiHidden/>
    <w:rsid w:val="00C256A4"/>
    <w:pPr>
      <w:spacing w:after="0" w:line="240" w:lineRule="auto"/>
    </w:pPr>
    <w:rPr>
      <w:rFonts w:ascii="Times New Roman" w:eastAsia="Times New Roman" w:hAnsi="Times New Roman" w:cs="Times New Roman"/>
      <w:sz w:val="24"/>
      <w:szCs w:val="24"/>
      <w:lang w:val="en-GB"/>
    </w:rPr>
  </w:style>
  <w:style w:type="character" w:customStyle="1" w:styleId="mdialogpagemmetadatatree0">
    <w:name w:val="m_dialogpage_m_metadatatree_0"/>
    <w:basedOn w:val="Numatytasispastraiposriftas"/>
    <w:rsid w:val="00890216"/>
  </w:style>
  <w:style w:type="character" w:customStyle="1" w:styleId="markedcontent">
    <w:name w:val="markedcontent"/>
    <w:basedOn w:val="Numatytasispastraiposriftas"/>
    <w:rsid w:val="00032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540071">
      <w:bodyDiv w:val="1"/>
      <w:marLeft w:val="0"/>
      <w:marRight w:val="0"/>
      <w:marTop w:val="0"/>
      <w:marBottom w:val="0"/>
      <w:divBdr>
        <w:top w:val="none" w:sz="0" w:space="0" w:color="auto"/>
        <w:left w:val="none" w:sz="0" w:space="0" w:color="auto"/>
        <w:bottom w:val="none" w:sz="0" w:space="0" w:color="auto"/>
        <w:right w:val="none" w:sz="0" w:space="0" w:color="auto"/>
      </w:divBdr>
    </w:div>
    <w:div w:id="599410238">
      <w:bodyDiv w:val="1"/>
      <w:marLeft w:val="0"/>
      <w:marRight w:val="0"/>
      <w:marTop w:val="0"/>
      <w:marBottom w:val="0"/>
      <w:divBdr>
        <w:top w:val="none" w:sz="0" w:space="0" w:color="auto"/>
        <w:left w:val="none" w:sz="0" w:space="0" w:color="auto"/>
        <w:bottom w:val="none" w:sz="0" w:space="0" w:color="auto"/>
        <w:right w:val="none" w:sz="0" w:space="0" w:color="auto"/>
      </w:divBdr>
    </w:div>
    <w:div w:id="786049811">
      <w:bodyDiv w:val="1"/>
      <w:marLeft w:val="0"/>
      <w:marRight w:val="0"/>
      <w:marTop w:val="0"/>
      <w:marBottom w:val="0"/>
      <w:divBdr>
        <w:top w:val="none" w:sz="0" w:space="0" w:color="auto"/>
        <w:left w:val="none" w:sz="0" w:space="0" w:color="auto"/>
        <w:bottom w:val="none" w:sz="0" w:space="0" w:color="auto"/>
        <w:right w:val="none" w:sz="0" w:space="0" w:color="auto"/>
      </w:divBdr>
    </w:div>
    <w:div w:id="1227371672">
      <w:bodyDiv w:val="1"/>
      <w:marLeft w:val="0"/>
      <w:marRight w:val="0"/>
      <w:marTop w:val="0"/>
      <w:marBottom w:val="0"/>
      <w:divBdr>
        <w:top w:val="none" w:sz="0" w:space="0" w:color="auto"/>
        <w:left w:val="none" w:sz="0" w:space="0" w:color="auto"/>
        <w:bottom w:val="none" w:sz="0" w:space="0" w:color="auto"/>
        <w:right w:val="none" w:sz="0" w:space="0" w:color="auto"/>
      </w:divBdr>
      <w:divsChild>
        <w:div w:id="2119180022">
          <w:marLeft w:val="0"/>
          <w:marRight w:val="0"/>
          <w:marTop w:val="0"/>
          <w:marBottom w:val="0"/>
          <w:divBdr>
            <w:top w:val="none" w:sz="0" w:space="0" w:color="auto"/>
            <w:left w:val="none" w:sz="0" w:space="0" w:color="auto"/>
            <w:bottom w:val="none" w:sz="0" w:space="0" w:color="auto"/>
            <w:right w:val="none" w:sz="0" w:space="0" w:color="auto"/>
          </w:divBdr>
        </w:div>
        <w:div w:id="1587424269">
          <w:marLeft w:val="0"/>
          <w:marRight w:val="0"/>
          <w:marTop w:val="0"/>
          <w:marBottom w:val="0"/>
          <w:divBdr>
            <w:top w:val="none" w:sz="0" w:space="0" w:color="auto"/>
            <w:left w:val="none" w:sz="0" w:space="0" w:color="auto"/>
            <w:bottom w:val="none" w:sz="0" w:space="0" w:color="auto"/>
            <w:right w:val="none" w:sz="0" w:space="0" w:color="auto"/>
          </w:divBdr>
        </w:div>
        <w:div w:id="2031837333">
          <w:marLeft w:val="0"/>
          <w:marRight w:val="0"/>
          <w:marTop w:val="0"/>
          <w:marBottom w:val="0"/>
          <w:divBdr>
            <w:top w:val="none" w:sz="0" w:space="0" w:color="auto"/>
            <w:left w:val="none" w:sz="0" w:space="0" w:color="auto"/>
            <w:bottom w:val="none" w:sz="0" w:space="0" w:color="auto"/>
            <w:right w:val="none" w:sz="0" w:space="0" w:color="auto"/>
          </w:divBdr>
        </w:div>
      </w:divsChild>
    </w:div>
    <w:div w:id="1293291890">
      <w:bodyDiv w:val="1"/>
      <w:marLeft w:val="0"/>
      <w:marRight w:val="0"/>
      <w:marTop w:val="0"/>
      <w:marBottom w:val="0"/>
      <w:divBdr>
        <w:top w:val="none" w:sz="0" w:space="0" w:color="auto"/>
        <w:left w:val="none" w:sz="0" w:space="0" w:color="auto"/>
        <w:bottom w:val="none" w:sz="0" w:space="0" w:color="auto"/>
        <w:right w:val="none" w:sz="0" w:space="0" w:color="auto"/>
      </w:divBdr>
    </w:div>
    <w:div w:id="1430468326">
      <w:bodyDiv w:val="1"/>
      <w:marLeft w:val="0"/>
      <w:marRight w:val="0"/>
      <w:marTop w:val="0"/>
      <w:marBottom w:val="0"/>
      <w:divBdr>
        <w:top w:val="none" w:sz="0" w:space="0" w:color="auto"/>
        <w:left w:val="none" w:sz="0" w:space="0" w:color="auto"/>
        <w:bottom w:val="none" w:sz="0" w:space="0" w:color="auto"/>
        <w:right w:val="none" w:sz="0" w:space="0" w:color="auto"/>
      </w:divBdr>
    </w:div>
    <w:div w:id="1475178863">
      <w:bodyDiv w:val="1"/>
      <w:marLeft w:val="0"/>
      <w:marRight w:val="0"/>
      <w:marTop w:val="0"/>
      <w:marBottom w:val="0"/>
      <w:divBdr>
        <w:top w:val="none" w:sz="0" w:space="0" w:color="auto"/>
        <w:left w:val="none" w:sz="0" w:space="0" w:color="auto"/>
        <w:bottom w:val="none" w:sz="0" w:space="0" w:color="auto"/>
        <w:right w:val="none" w:sz="0" w:space="0" w:color="auto"/>
      </w:divBdr>
      <w:divsChild>
        <w:div w:id="949823231">
          <w:marLeft w:val="0"/>
          <w:marRight w:val="0"/>
          <w:marTop w:val="0"/>
          <w:marBottom w:val="0"/>
          <w:divBdr>
            <w:top w:val="none" w:sz="0" w:space="0" w:color="auto"/>
            <w:left w:val="none" w:sz="0" w:space="0" w:color="auto"/>
            <w:bottom w:val="none" w:sz="0" w:space="0" w:color="auto"/>
            <w:right w:val="none" w:sz="0" w:space="0" w:color="auto"/>
          </w:divBdr>
        </w:div>
        <w:div w:id="298653524">
          <w:marLeft w:val="0"/>
          <w:marRight w:val="0"/>
          <w:marTop w:val="0"/>
          <w:marBottom w:val="0"/>
          <w:divBdr>
            <w:top w:val="none" w:sz="0" w:space="0" w:color="auto"/>
            <w:left w:val="none" w:sz="0" w:space="0" w:color="auto"/>
            <w:bottom w:val="none" w:sz="0" w:space="0" w:color="auto"/>
            <w:right w:val="none" w:sz="0" w:space="0" w:color="auto"/>
          </w:divBdr>
        </w:div>
        <w:div w:id="50081284">
          <w:marLeft w:val="0"/>
          <w:marRight w:val="0"/>
          <w:marTop w:val="0"/>
          <w:marBottom w:val="0"/>
          <w:divBdr>
            <w:top w:val="none" w:sz="0" w:space="0" w:color="auto"/>
            <w:left w:val="none" w:sz="0" w:space="0" w:color="auto"/>
            <w:bottom w:val="none" w:sz="0" w:space="0" w:color="auto"/>
            <w:right w:val="none" w:sz="0" w:space="0" w:color="auto"/>
          </w:divBdr>
        </w:div>
      </w:divsChild>
    </w:div>
    <w:div w:id="1998142725">
      <w:bodyDiv w:val="1"/>
      <w:marLeft w:val="0"/>
      <w:marRight w:val="0"/>
      <w:marTop w:val="0"/>
      <w:marBottom w:val="0"/>
      <w:divBdr>
        <w:top w:val="none" w:sz="0" w:space="0" w:color="auto"/>
        <w:left w:val="none" w:sz="0" w:space="0" w:color="auto"/>
        <w:bottom w:val="none" w:sz="0" w:space="0" w:color="auto"/>
        <w:right w:val="none" w:sz="0" w:space="0" w:color="auto"/>
      </w:divBdr>
      <w:divsChild>
        <w:div w:id="1845437666">
          <w:marLeft w:val="0"/>
          <w:marRight w:val="0"/>
          <w:marTop w:val="0"/>
          <w:marBottom w:val="0"/>
          <w:divBdr>
            <w:top w:val="none" w:sz="0" w:space="0" w:color="auto"/>
            <w:left w:val="none" w:sz="0" w:space="0" w:color="auto"/>
            <w:bottom w:val="none" w:sz="0" w:space="0" w:color="auto"/>
            <w:right w:val="none" w:sz="0" w:space="0" w:color="auto"/>
          </w:divBdr>
          <w:divsChild>
            <w:div w:id="845561394">
              <w:marLeft w:val="0"/>
              <w:marRight w:val="0"/>
              <w:marTop w:val="0"/>
              <w:marBottom w:val="0"/>
              <w:divBdr>
                <w:top w:val="none" w:sz="0" w:space="0" w:color="auto"/>
                <w:left w:val="none" w:sz="0" w:space="0" w:color="auto"/>
                <w:bottom w:val="none" w:sz="0" w:space="0" w:color="auto"/>
                <w:right w:val="none" w:sz="0" w:space="0" w:color="auto"/>
              </w:divBdr>
            </w:div>
            <w:div w:id="445272577">
              <w:marLeft w:val="0"/>
              <w:marRight w:val="0"/>
              <w:marTop w:val="0"/>
              <w:marBottom w:val="0"/>
              <w:divBdr>
                <w:top w:val="none" w:sz="0" w:space="0" w:color="auto"/>
                <w:left w:val="none" w:sz="0" w:space="0" w:color="auto"/>
                <w:bottom w:val="none" w:sz="0" w:space="0" w:color="auto"/>
                <w:right w:val="none" w:sz="0" w:space="0" w:color="auto"/>
              </w:divBdr>
            </w:div>
            <w:div w:id="16195944">
              <w:marLeft w:val="0"/>
              <w:marRight w:val="0"/>
              <w:marTop w:val="0"/>
              <w:marBottom w:val="0"/>
              <w:divBdr>
                <w:top w:val="none" w:sz="0" w:space="0" w:color="auto"/>
                <w:left w:val="none" w:sz="0" w:space="0" w:color="auto"/>
                <w:bottom w:val="none" w:sz="0" w:space="0" w:color="auto"/>
                <w:right w:val="none" w:sz="0" w:space="0" w:color="auto"/>
              </w:divBdr>
            </w:div>
            <w:div w:id="38746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ntTable.xml"
                 Type="http://schemas.openxmlformats.org/officeDocument/2006/relationships/fontTable"/>
   <Relationship Id="rId12"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media/image1.png"
                 Type="http://schemas.openxmlformats.org/officeDocument/2006/relationships/image"/>
   <Relationship Id="rId9" Target="embeddings/oleObject1.bin"
                 Type="http://schemas.openxmlformats.org/officeDocument/2006/relationships/oleObject"/>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31BAE-B084-416D-9893-9AEBAF2EC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2115</Words>
  <Characters>1207</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terms="http://purl.org/dc/terms/" xmlns:dc="http://purl.org/dc/elements/1.1/" xmlns:xsi="http://www.w3.org/2001/XMLSchema-instance">
  <dcterms:created xsi:type="dcterms:W3CDTF">2023-10-06T09:28:00Z</dcterms:created>
  <dc:creator>Ieva Vaiciukevičienė</dc:creator>
  <cp:lastModifiedBy>Sigitas Puodžiukas</cp:lastModifiedBy>
  <dcterms:modified xsi:type="dcterms:W3CDTF">2024-02-23T12:50:00Z</dcterms:modified>
  <cp:revision>15</cp:revision>
</cp:coreProperties>
</file>